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FC" w:rsidRPr="00BB1BFC" w:rsidRDefault="00BB1BFC" w:rsidP="005D0050">
      <w:pPr>
        <w:adjustRightInd w:val="0"/>
        <w:snapToGrid w:val="0"/>
        <w:spacing w:beforeLines="50" w:afterLines="50"/>
        <w:jc w:val="center"/>
        <w:rPr>
          <w:rFonts w:ascii="宋体" w:eastAsia="宋体" w:hAnsi="宋体"/>
          <w:b/>
          <w:szCs w:val="28"/>
        </w:rPr>
      </w:pPr>
      <w:r w:rsidRPr="00BB1BFC">
        <w:rPr>
          <w:rFonts w:ascii="宋体" w:eastAsia="宋体" w:hAnsi="宋体" w:hint="eastAsia"/>
          <w:b/>
          <w:szCs w:val="28"/>
        </w:rPr>
        <w:t>保利房地产（集团）股份有限公司</w:t>
      </w:r>
    </w:p>
    <w:p w:rsidR="00BB1BFC" w:rsidRPr="00BB1BFC" w:rsidRDefault="00BB1BFC" w:rsidP="005D0050">
      <w:pPr>
        <w:adjustRightInd w:val="0"/>
        <w:snapToGrid w:val="0"/>
        <w:spacing w:beforeLines="50" w:afterLines="50"/>
        <w:jc w:val="center"/>
        <w:rPr>
          <w:rFonts w:ascii="宋体" w:eastAsia="宋体" w:hAnsi="宋体"/>
          <w:b/>
          <w:szCs w:val="28"/>
        </w:rPr>
      </w:pPr>
      <w:r w:rsidRPr="00BB1BFC">
        <w:rPr>
          <w:rFonts w:ascii="宋体" w:eastAsia="宋体" w:hAnsi="宋体" w:hint="eastAsia"/>
          <w:b/>
          <w:szCs w:val="28"/>
        </w:rPr>
        <w:t>201</w:t>
      </w:r>
      <w:r w:rsidRPr="00BB1BFC">
        <w:rPr>
          <w:rFonts w:ascii="宋体" w:eastAsia="宋体" w:hAnsi="宋体"/>
          <w:b/>
          <w:szCs w:val="28"/>
        </w:rPr>
        <w:t>5</w:t>
      </w:r>
      <w:r w:rsidRPr="00BB1BFC">
        <w:rPr>
          <w:rFonts w:ascii="宋体" w:eastAsia="宋体" w:hAnsi="宋体" w:hint="eastAsia"/>
          <w:b/>
          <w:szCs w:val="28"/>
        </w:rPr>
        <w:t>-201</w:t>
      </w:r>
      <w:r w:rsidRPr="00BB1BFC">
        <w:rPr>
          <w:rFonts w:ascii="宋体" w:eastAsia="宋体" w:hAnsi="宋体"/>
          <w:b/>
          <w:szCs w:val="28"/>
        </w:rPr>
        <w:t>7</w:t>
      </w:r>
      <w:r w:rsidRPr="00BB1BFC">
        <w:rPr>
          <w:rFonts w:ascii="宋体" w:eastAsia="宋体" w:hAnsi="宋体" w:hint="eastAsia"/>
          <w:b/>
          <w:szCs w:val="28"/>
        </w:rPr>
        <w:t>年股东回报规划</w:t>
      </w:r>
    </w:p>
    <w:p w:rsidR="00BB1BFC" w:rsidRPr="00FB2E63" w:rsidRDefault="00BB1BFC" w:rsidP="00BB1BFC">
      <w:pPr>
        <w:adjustRightInd w:val="0"/>
        <w:snapToGrid w:val="0"/>
        <w:spacing w:line="360" w:lineRule="auto"/>
        <w:jc w:val="center"/>
        <w:rPr>
          <w:rFonts w:ascii="宋体" w:eastAsia="宋体" w:hAnsi="宋体"/>
          <w:sz w:val="24"/>
        </w:rPr>
      </w:pP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保利房地产（集团）股份有限公司（以下简称“公司”）在实现自身发展的同时，高度重视股东的合理投资回报。在综合考虑公司战略发展目标、经营规划、盈利能力、股东回报、社会资金成本以及外部融资环境等因素基础上，公司制订了201</w:t>
      </w:r>
      <w:r w:rsidRPr="00BB1BFC">
        <w:rPr>
          <w:rFonts w:ascii="宋体" w:eastAsia="宋体" w:hAnsi="宋体"/>
          <w:color w:val="000000"/>
          <w:sz w:val="24"/>
        </w:rPr>
        <w:t>5</w:t>
      </w:r>
      <w:r w:rsidRPr="00BB1BFC">
        <w:rPr>
          <w:rFonts w:ascii="宋体" w:eastAsia="宋体" w:hAnsi="宋体" w:hint="eastAsia"/>
          <w:color w:val="000000"/>
          <w:sz w:val="24"/>
        </w:rPr>
        <w:t>-201</w:t>
      </w:r>
      <w:r w:rsidRPr="00BB1BFC">
        <w:rPr>
          <w:rFonts w:ascii="宋体" w:eastAsia="宋体" w:hAnsi="宋体"/>
          <w:color w:val="000000"/>
          <w:sz w:val="24"/>
        </w:rPr>
        <w:t>7</w:t>
      </w:r>
      <w:r w:rsidRPr="00BB1BFC">
        <w:rPr>
          <w:rFonts w:ascii="宋体" w:eastAsia="宋体" w:hAnsi="宋体" w:hint="eastAsia"/>
          <w:color w:val="000000"/>
          <w:sz w:val="24"/>
        </w:rPr>
        <w:t xml:space="preserve">年股东回报规划（以下简称“本规划”）。具体内容如下： </w:t>
      </w:r>
    </w:p>
    <w:p w:rsidR="00BB1BFC" w:rsidRPr="00BB1BFC" w:rsidRDefault="00BB1BFC" w:rsidP="00BB1BFC">
      <w:pPr>
        <w:overflowPunct w:val="0"/>
        <w:adjustRightInd w:val="0"/>
        <w:snapToGrid w:val="0"/>
        <w:spacing w:line="360" w:lineRule="auto"/>
        <w:ind w:firstLineChars="200" w:firstLine="482"/>
        <w:outlineLvl w:val="0"/>
        <w:rPr>
          <w:rFonts w:ascii="宋体" w:eastAsia="宋体" w:hAnsi="宋体"/>
          <w:b/>
          <w:sz w:val="24"/>
        </w:rPr>
      </w:pPr>
      <w:r w:rsidRPr="00BB1BFC">
        <w:rPr>
          <w:rFonts w:ascii="宋体" w:eastAsia="宋体" w:hAnsi="宋体" w:hint="eastAsia"/>
          <w:b/>
          <w:sz w:val="24"/>
        </w:rPr>
        <w:t>第一条 制订本规划考虑因素</w:t>
      </w: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公司致力于实现平稳、健康和可持续发展，综合考虑公司实际经营情况、战略发展目标、经营规划、盈利能力、股东的意愿和要求、外部融资成本和融资环境、公司现金流量状况等重要因素，平衡股东的短期利益和长期回报，建立对投资者持续、稳定、科学的回报规划与机制，对利润分配做出制度性安排，以保证利润分配政策的连续性和稳定性。</w:t>
      </w:r>
    </w:p>
    <w:p w:rsidR="00BB1BFC" w:rsidRPr="00BB1BFC" w:rsidRDefault="00BB1BFC" w:rsidP="00BB1BFC">
      <w:pPr>
        <w:overflowPunct w:val="0"/>
        <w:adjustRightInd w:val="0"/>
        <w:snapToGrid w:val="0"/>
        <w:spacing w:line="360" w:lineRule="auto"/>
        <w:ind w:firstLineChars="200" w:firstLine="482"/>
        <w:outlineLvl w:val="0"/>
        <w:rPr>
          <w:rFonts w:ascii="宋体" w:eastAsia="宋体" w:hAnsi="宋体"/>
          <w:b/>
          <w:sz w:val="24"/>
        </w:rPr>
      </w:pPr>
      <w:r w:rsidRPr="00BB1BFC">
        <w:rPr>
          <w:rFonts w:ascii="宋体" w:eastAsia="宋体" w:hAnsi="宋体" w:hint="eastAsia"/>
          <w:b/>
          <w:sz w:val="24"/>
        </w:rPr>
        <w:t>第二条 本规划的制定原则</w:t>
      </w: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本规划的制定应在符合《公司法》等法律法规、规范性文件和《公司章程》等有关利润分配规定的基础上，充分考虑和听取股东（特别是中小股东）、独立董事和监事的意见，重视对股东的合理投资回报并兼顾公司的可持续发展需要，坚持积极、科学开展利润分配的基本原则，保持公司利润分配政策的连续性和稳定性。</w:t>
      </w:r>
    </w:p>
    <w:p w:rsidR="00BB1BFC" w:rsidRPr="00BB1BFC" w:rsidRDefault="00BB1BFC" w:rsidP="00BB1BFC">
      <w:pPr>
        <w:overflowPunct w:val="0"/>
        <w:adjustRightInd w:val="0"/>
        <w:snapToGrid w:val="0"/>
        <w:spacing w:line="360" w:lineRule="auto"/>
        <w:ind w:firstLineChars="200" w:firstLine="482"/>
        <w:outlineLvl w:val="0"/>
        <w:rPr>
          <w:rFonts w:ascii="宋体" w:eastAsia="宋体" w:hAnsi="宋体"/>
          <w:b/>
          <w:sz w:val="24"/>
        </w:rPr>
      </w:pPr>
      <w:r w:rsidRPr="00BB1BFC">
        <w:rPr>
          <w:rFonts w:ascii="宋体" w:eastAsia="宋体" w:hAnsi="宋体" w:hint="eastAsia"/>
          <w:b/>
          <w:sz w:val="24"/>
        </w:rPr>
        <w:t>第三条 未来三年（201</w:t>
      </w:r>
      <w:r w:rsidRPr="00BB1BFC">
        <w:rPr>
          <w:rFonts w:ascii="宋体" w:eastAsia="宋体" w:hAnsi="宋体"/>
          <w:b/>
          <w:sz w:val="24"/>
        </w:rPr>
        <w:t>5</w:t>
      </w:r>
      <w:r w:rsidRPr="00BB1BFC">
        <w:rPr>
          <w:rFonts w:ascii="宋体" w:eastAsia="宋体" w:hAnsi="宋体" w:hint="eastAsia"/>
          <w:b/>
          <w:sz w:val="24"/>
        </w:rPr>
        <w:t>-201</w:t>
      </w:r>
      <w:r w:rsidRPr="00BB1BFC">
        <w:rPr>
          <w:rFonts w:ascii="宋体" w:eastAsia="宋体" w:hAnsi="宋体"/>
          <w:b/>
          <w:sz w:val="24"/>
        </w:rPr>
        <w:t>7</w:t>
      </w:r>
      <w:r w:rsidRPr="00BB1BFC">
        <w:rPr>
          <w:rFonts w:ascii="宋体" w:eastAsia="宋体" w:hAnsi="宋体" w:hint="eastAsia"/>
          <w:b/>
          <w:sz w:val="24"/>
        </w:rPr>
        <w:t xml:space="preserve">）的具体股东回报规划 </w:t>
      </w:r>
    </w:p>
    <w:p w:rsidR="00BB1BFC" w:rsidRPr="00BB1BFC" w:rsidRDefault="00BB1BFC" w:rsidP="00BB1BFC">
      <w:pPr>
        <w:autoSpaceDE w:val="0"/>
        <w:autoSpaceDN w:val="0"/>
        <w:adjustRightInd w:val="0"/>
        <w:snapToGrid w:val="0"/>
        <w:spacing w:line="360" w:lineRule="auto"/>
        <w:ind w:firstLine="465"/>
        <w:rPr>
          <w:rFonts w:ascii="宋体" w:eastAsia="宋体" w:hAnsi="宋体"/>
          <w:sz w:val="24"/>
        </w:rPr>
      </w:pPr>
      <w:r w:rsidRPr="00BB1BFC">
        <w:rPr>
          <w:rFonts w:ascii="宋体" w:eastAsia="宋体" w:hAnsi="宋体" w:hint="eastAsia"/>
          <w:sz w:val="24"/>
        </w:rPr>
        <w:t>1、公司可以采取现金、股票或者现金与股票相结合或法律、法规允许的其他方式分配利润。公司在符合利润分配的条件下，原则上每年度进行一次利润分配，经公司股东大会审议决定，公司可进行中期利润分配。在公司具备现金分红条件时，应当采用现金分红进行利润分配,采用股票股利的方式进行利润分配的，应当具有公司成长性、每股净资产的摊薄等真实合理因素。</w:t>
      </w:r>
    </w:p>
    <w:p w:rsidR="00BB1BFC" w:rsidRPr="00BB1BFC" w:rsidRDefault="00BB1BFC" w:rsidP="000A36A8">
      <w:pPr>
        <w:autoSpaceDE w:val="0"/>
        <w:autoSpaceDN w:val="0"/>
        <w:adjustRightInd w:val="0"/>
        <w:snapToGrid w:val="0"/>
        <w:spacing w:line="360" w:lineRule="auto"/>
        <w:ind w:firstLine="465"/>
        <w:jc w:val="left"/>
        <w:rPr>
          <w:rFonts w:ascii="宋体" w:eastAsia="宋体" w:hAnsi="宋体"/>
          <w:color w:val="000000"/>
          <w:sz w:val="24"/>
        </w:rPr>
      </w:pPr>
      <w:r w:rsidRPr="00BB1BFC">
        <w:rPr>
          <w:rFonts w:ascii="宋体" w:eastAsia="宋体" w:hAnsi="宋体" w:hint="eastAsia"/>
          <w:color w:val="000000"/>
          <w:sz w:val="24"/>
        </w:rPr>
        <w:t>2、在公司未分配利润为正、当期可分配利润（即公司弥补亏损、提取公积金后所余的税后利润）为正且公司现金流可以满足公司正常经营和可持续发展的情况下，公司原则上每年进行一次现金分红。公司未来三年（即201</w:t>
      </w:r>
      <w:r w:rsidRPr="00BB1BFC">
        <w:rPr>
          <w:rFonts w:ascii="宋体" w:eastAsia="宋体" w:hAnsi="宋体"/>
          <w:color w:val="000000"/>
          <w:sz w:val="24"/>
        </w:rPr>
        <w:t>5</w:t>
      </w:r>
      <w:r w:rsidRPr="00BB1BFC">
        <w:rPr>
          <w:rFonts w:ascii="宋体" w:eastAsia="宋体" w:hAnsi="宋体" w:hint="eastAsia"/>
          <w:color w:val="000000"/>
          <w:sz w:val="24"/>
        </w:rPr>
        <w:t>-201</w:t>
      </w:r>
      <w:r w:rsidRPr="00BB1BFC">
        <w:rPr>
          <w:rFonts w:ascii="宋体" w:eastAsia="宋体" w:hAnsi="宋体"/>
          <w:color w:val="000000"/>
          <w:sz w:val="24"/>
        </w:rPr>
        <w:t>7</w:t>
      </w:r>
      <w:r w:rsidRPr="00BB1BFC">
        <w:rPr>
          <w:rFonts w:ascii="宋体" w:eastAsia="宋体" w:hAnsi="宋体" w:hint="eastAsia"/>
          <w:color w:val="000000"/>
          <w:sz w:val="24"/>
        </w:rPr>
        <w:t>年）以现金方式累计分配的利润不少于未来三年实现的年均可分配利润的百分之三</w:t>
      </w:r>
      <w:r w:rsidRPr="000A36A8">
        <w:rPr>
          <w:rFonts w:ascii="宋体" w:eastAsia="宋体" w:hAnsi="宋体" w:hint="eastAsia"/>
          <w:color w:val="000000"/>
          <w:sz w:val="24"/>
        </w:rPr>
        <w:lastRenderedPageBreak/>
        <w:t>十，且2016年度、2017年度的现金分红占当年归属于上市公司股东净利润的比例均不低于30%。同时，公司可根据需要采取股票股利</w:t>
      </w:r>
      <w:r w:rsidRPr="00BB1BFC">
        <w:rPr>
          <w:rFonts w:ascii="宋体" w:eastAsia="宋体" w:hAnsi="宋体" w:hint="eastAsia"/>
          <w:color w:val="000000"/>
          <w:sz w:val="24"/>
        </w:rPr>
        <w:t>的方式进行利润分配。</w:t>
      </w: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3、公司利润分配预案由公司董事会在综合公司经营发展、股东意愿、社会资金成本及外部融资环境等因素的基础上拟定，充分听取独立董事意见，经公司董事会审议通过后，提交股东大会审议决定。</w:t>
      </w:r>
      <w:r w:rsidRPr="00BB1BFC">
        <w:rPr>
          <w:rFonts w:ascii="宋体" w:eastAsia="宋体" w:hAnsi="宋体"/>
          <w:color w:val="000000"/>
          <w:sz w:val="24"/>
        </w:rPr>
        <w:t>公司积极接受股东、独立董事和监事对公司利润分配的建议和监督。</w:t>
      </w:r>
    </w:p>
    <w:p w:rsidR="00BB1BFC" w:rsidRPr="000A36A8" w:rsidRDefault="00BB1BFC" w:rsidP="000A36A8">
      <w:pPr>
        <w:adjustRightInd w:val="0"/>
        <w:snapToGrid w:val="0"/>
        <w:spacing w:line="360" w:lineRule="auto"/>
        <w:ind w:firstLineChars="200" w:firstLine="480"/>
        <w:rPr>
          <w:rFonts w:ascii="宋体" w:eastAsia="宋体" w:hAnsi="宋体"/>
          <w:color w:val="000000"/>
          <w:sz w:val="24"/>
        </w:rPr>
      </w:pPr>
      <w:r w:rsidRPr="000A36A8">
        <w:rPr>
          <w:rFonts w:ascii="宋体" w:eastAsia="宋体" w:hAnsi="宋体" w:hint="eastAsia"/>
          <w:color w:val="000000"/>
          <w:sz w:val="24"/>
        </w:rPr>
        <w:t>4、公司股价持续低于每股净资产时，公司将促使控股股东、实际控制人通过二级市场增持、公司回购股份等措施，积极稳定公司股价。</w:t>
      </w:r>
    </w:p>
    <w:p w:rsidR="00BB1BFC" w:rsidRPr="00BB1BFC" w:rsidRDefault="00BB1BFC" w:rsidP="00BB1BFC">
      <w:pPr>
        <w:overflowPunct w:val="0"/>
        <w:adjustRightInd w:val="0"/>
        <w:snapToGrid w:val="0"/>
        <w:spacing w:line="360" w:lineRule="auto"/>
        <w:ind w:firstLineChars="200" w:firstLine="482"/>
        <w:outlineLvl w:val="0"/>
        <w:rPr>
          <w:rFonts w:ascii="宋体" w:eastAsia="宋体" w:hAnsi="宋体"/>
          <w:b/>
          <w:sz w:val="24"/>
        </w:rPr>
      </w:pPr>
      <w:r w:rsidRPr="00BB1BFC">
        <w:rPr>
          <w:rFonts w:ascii="宋体" w:eastAsia="宋体" w:hAnsi="宋体" w:hint="eastAsia"/>
          <w:b/>
          <w:sz w:val="24"/>
        </w:rPr>
        <w:t>第四条 股东回报规划的决策机制</w:t>
      </w: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1、公司股东回报规划预案由董事会根据公司战略发展目标、实际经营情况、盈利规模及现金流量状况并结合股东（特别是中小股东）、独立董事和监事的意见拟定，在公司董事会审议通过后提交公司股东大会审议。</w:t>
      </w: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2、公司如因外部经营环境或自身经营状况发生重大变化而需要调整股东回报规划的，应以股东权益保护为出发点，详细论证和说明原因，并严格履行决策程序。公司股东回报规划的调整应在公司董事会审议通过后，提交股东大会审议。</w:t>
      </w:r>
    </w:p>
    <w:p w:rsidR="00BB1BFC" w:rsidRPr="00BB1BFC" w:rsidRDefault="00BB1BFC" w:rsidP="00BB1BFC">
      <w:pPr>
        <w:overflowPunct w:val="0"/>
        <w:adjustRightInd w:val="0"/>
        <w:snapToGrid w:val="0"/>
        <w:spacing w:line="360" w:lineRule="auto"/>
        <w:ind w:firstLineChars="200" w:firstLine="482"/>
        <w:outlineLvl w:val="0"/>
        <w:rPr>
          <w:rFonts w:ascii="宋体" w:eastAsia="宋体" w:hAnsi="宋体"/>
          <w:b/>
          <w:sz w:val="24"/>
        </w:rPr>
      </w:pPr>
      <w:r w:rsidRPr="00BB1BFC">
        <w:rPr>
          <w:rFonts w:ascii="宋体" w:eastAsia="宋体" w:hAnsi="宋体" w:hint="eastAsia"/>
          <w:b/>
          <w:sz w:val="24"/>
        </w:rPr>
        <w:t>第五条 附则</w:t>
      </w:r>
    </w:p>
    <w:p w:rsidR="00BB1BFC" w:rsidRPr="00BB1BFC" w:rsidRDefault="00BB1BFC" w:rsidP="00BB1BFC">
      <w:pPr>
        <w:autoSpaceDE w:val="0"/>
        <w:autoSpaceDN w:val="0"/>
        <w:adjustRightInd w:val="0"/>
        <w:snapToGrid w:val="0"/>
        <w:spacing w:line="360" w:lineRule="auto"/>
        <w:ind w:firstLine="465"/>
        <w:rPr>
          <w:rFonts w:ascii="宋体" w:eastAsia="宋体" w:hAnsi="宋体"/>
          <w:color w:val="000000"/>
          <w:sz w:val="24"/>
        </w:rPr>
      </w:pPr>
      <w:r w:rsidRPr="00BB1BFC">
        <w:rPr>
          <w:rFonts w:ascii="宋体" w:eastAsia="宋体" w:hAnsi="宋体" w:hint="eastAsia"/>
          <w:color w:val="000000"/>
          <w:sz w:val="24"/>
        </w:rPr>
        <w:t>本规划未尽事宜，依照相关法律法规、规范性文件及《公司章程》的规定执行。本规划由公司董事会负责解释，自公司股东大会审议通过之日起实施，修订时亦同。</w:t>
      </w:r>
    </w:p>
    <w:p w:rsidR="00BB1BFC" w:rsidRPr="00BB1BFC" w:rsidRDefault="00BB1BFC" w:rsidP="00BB1BFC">
      <w:pPr>
        <w:adjustRightInd w:val="0"/>
        <w:snapToGrid w:val="0"/>
        <w:spacing w:line="360" w:lineRule="auto"/>
        <w:rPr>
          <w:rFonts w:ascii="宋体" w:eastAsia="宋体" w:hAnsi="宋体"/>
          <w:sz w:val="24"/>
        </w:rPr>
      </w:pPr>
    </w:p>
    <w:p w:rsidR="00BB1BFC" w:rsidRPr="00BB1BFC" w:rsidRDefault="00BB1BFC" w:rsidP="00BB1BFC">
      <w:pPr>
        <w:adjustRightInd w:val="0"/>
        <w:snapToGrid w:val="0"/>
        <w:spacing w:line="360" w:lineRule="auto"/>
        <w:rPr>
          <w:rFonts w:ascii="宋体" w:eastAsia="宋体" w:hAnsi="宋体"/>
          <w:sz w:val="24"/>
        </w:rPr>
      </w:pPr>
    </w:p>
    <w:p w:rsidR="00BB1BFC" w:rsidRPr="00BB1BFC" w:rsidRDefault="00BB1BFC" w:rsidP="00BB1BFC">
      <w:pPr>
        <w:spacing w:line="360" w:lineRule="auto"/>
        <w:ind w:firstLineChars="1764" w:firstLine="4250"/>
        <w:jc w:val="center"/>
        <w:rPr>
          <w:rFonts w:ascii="宋体" w:eastAsia="宋体" w:hAnsi="宋体"/>
          <w:b/>
          <w:color w:val="000000"/>
          <w:sz w:val="24"/>
        </w:rPr>
      </w:pPr>
      <w:r w:rsidRPr="00BB1BFC">
        <w:rPr>
          <w:rFonts w:ascii="宋体" w:eastAsia="宋体" w:hAnsi="宋体" w:hint="eastAsia"/>
          <w:b/>
          <w:color w:val="000000"/>
          <w:sz w:val="24"/>
        </w:rPr>
        <w:t>保利房地产（集团）股份有限公司</w:t>
      </w:r>
    </w:p>
    <w:p w:rsidR="00BB1BFC" w:rsidRPr="00BB1BFC" w:rsidRDefault="00BB1BFC" w:rsidP="00BB1BFC">
      <w:pPr>
        <w:spacing w:line="360" w:lineRule="auto"/>
        <w:ind w:firstLineChars="1764" w:firstLine="4250"/>
        <w:jc w:val="center"/>
        <w:rPr>
          <w:rFonts w:ascii="宋体" w:eastAsia="宋体" w:hAnsi="宋体"/>
          <w:b/>
          <w:color w:val="000000"/>
          <w:sz w:val="24"/>
        </w:rPr>
      </w:pPr>
      <w:r w:rsidRPr="00BB1BFC">
        <w:rPr>
          <w:rFonts w:ascii="宋体" w:eastAsia="宋体" w:hAnsi="宋体" w:hint="eastAsia"/>
          <w:b/>
          <w:color w:val="000000"/>
          <w:sz w:val="24"/>
        </w:rPr>
        <w:t>二○一六年十二月</w:t>
      </w:r>
    </w:p>
    <w:p w:rsidR="00AC0540" w:rsidRPr="00BB1BFC" w:rsidRDefault="00AC0540">
      <w:pPr>
        <w:rPr>
          <w:rFonts w:ascii="宋体" w:eastAsia="宋体" w:hAnsi="宋体"/>
          <w:b/>
        </w:rPr>
      </w:pPr>
    </w:p>
    <w:sectPr w:rsidR="00AC0540" w:rsidRPr="00BB1BFC" w:rsidSect="00AC054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A3" w:rsidRDefault="00906DA3" w:rsidP="00BB1BFC">
      <w:r>
        <w:separator/>
      </w:r>
    </w:p>
  </w:endnote>
  <w:endnote w:type="continuationSeparator" w:id="1">
    <w:p w:rsidR="00906DA3" w:rsidRDefault="00906DA3" w:rsidP="00BB1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A3" w:rsidRDefault="00906DA3" w:rsidP="00BB1BFC">
      <w:r>
        <w:separator/>
      </w:r>
    </w:p>
  </w:footnote>
  <w:footnote w:type="continuationSeparator" w:id="1">
    <w:p w:rsidR="00906DA3" w:rsidRDefault="00906DA3" w:rsidP="00BB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FC" w:rsidRPr="00BB1BFC" w:rsidRDefault="00BB1BFC" w:rsidP="00BB1BFC">
    <w:pPr>
      <w:pStyle w:val="a3"/>
      <w:rPr>
        <w:rFonts w:ascii="宋体" w:eastAsia="宋体" w:hAnsi="宋体"/>
      </w:rPr>
    </w:pPr>
    <w:r w:rsidRPr="00BB1BFC">
      <w:rPr>
        <w:rFonts w:ascii="宋体" w:eastAsia="宋体" w:hAnsi="宋体"/>
      </w:rPr>
      <w:object w:dxaOrig="4292"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5pt;height:21.25pt;mso-position-horizontal-relative:page;mso-position-vertical-relative:page" o:ole="">
          <v:imagedata r:id="rId1" o:title=""/>
        </v:shape>
        <o:OLEObject Type="Embed" ProgID="图像.文件" ShapeID="_x0000_i1025" DrawAspect="Content" ObjectID="_1543157571" r:id="rId2"/>
      </w:object>
    </w:r>
    <w:r w:rsidRPr="00BB1BFC">
      <w:rPr>
        <w:rFonts w:ascii="宋体" w:eastAsia="宋体" w:hAnsi="宋体" w:hint="eastAsia"/>
      </w:rPr>
      <w:t xml:space="preserve">                                  2015-2017年股东回报规划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BFC"/>
    <w:rsid w:val="0000278E"/>
    <w:rsid w:val="000A36A8"/>
    <w:rsid w:val="000D2F02"/>
    <w:rsid w:val="002E573D"/>
    <w:rsid w:val="00506896"/>
    <w:rsid w:val="00591513"/>
    <w:rsid w:val="005D0050"/>
    <w:rsid w:val="005F1A44"/>
    <w:rsid w:val="00797156"/>
    <w:rsid w:val="0083162B"/>
    <w:rsid w:val="00855BAC"/>
    <w:rsid w:val="00906DA3"/>
    <w:rsid w:val="009503D8"/>
    <w:rsid w:val="00960170"/>
    <w:rsid w:val="00966DB2"/>
    <w:rsid w:val="00A47024"/>
    <w:rsid w:val="00A904BD"/>
    <w:rsid w:val="00AC0540"/>
    <w:rsid w:val="00B739F3"/>
    <w:rsid w:val="00BB1BFC"/>
    <w:rsid w:val="00D52832"/>
    <w:rsid w:val="00D6045B"/>
    <w:rsid w:val="00D7246C"/>
    <w:rsid w:val="00EE1FDD"/>
    <w:rsid w:val="00F23C9E"/>
    <w:rsid w:val="00F622B6"/>
    <w:rsid w:val="00F72C56"/>
    <w:rsid w:val="00FB2E63"/>
    <w:rsid w:val="00FE1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FC"/>
    <w:pPr>
      <w:widowControl w:val="0"/>
      <w:jc w:val="both"/>
    </w:pPr>
    <w:rPr>
      <w:rFonts w:ascii="Arial" w:eastAsia="仿宋_GB2312"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1BFC"/>
    <w:rPr>
      <w:rFonts w:ascii="Arial" w:eastAsia="仿宋_GB2312" w:hAnsi="Arial" w:cs="Times New Roman"/>
      <w:sz w:val="18"/>
      <w:szCs w:val="18"/>
    </w:rPr>
  </w:style>
  <w:style w:type="paragraph" w:styleId="a4">
    <w:name w:val="footer"/>
    <w:basedOn w:val="a"/>
    <w:link w:val="Char0"/>
    <w:uiPriority w:val="99"/>
    <w:semiHidden/>
    <w:unhideWhenUsed/>
    <w:rsid w:val="00BB1B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BFC"/>
    <w:rPr>
      <w:rFonts w:ascii="Arial" w:eastAsia="仿宋_GB2312"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Company>Poly Real Estate Group Co.,Ltd</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dcterms:created xsi:type="dcterms:W3CDTF">2016-12-12T13:01:00Z</dcterms:created>
  <dcterms:modified xsi:type="dcterms:W3CDTF">2016-12-13T10:06:00Z</dcterms:modified>
</cp:coreProperties>
</file>